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B5145" w14:textId="77777777" w:rsidR="007F1272" w:rsidRPr="000B6C6C" w:rsidRDefault="007F1272">
      <w:pPr>
        <w:rPr>
          <w:lang w:val="en-US"/>
        </w:rPr>
      </w:pPr>
      <w:bookmarkStart w:id="0" w:name="_GoBack"/>
      <w:bookmarkEnd w:id="0"/>
      <w:r>
        <w:rPr>
          <w:lang w:val="en-US"/>
        </w:rPr>
        <w:t>Modular AT text for public tenders:</w:t>
      </w:r>
      <w:r w:rsidR="005F2DEB" w:rsidRPr="000B6C6C">
        <w:rPr>
          <w:noProof/>
          <w:lang w:val="en-US" w:eastAsia="de-DE"/>
        </w:rPr>
        <w:t xml:space="preserve"> </w:t>
      </w:r>
      <w:r w:rsidR="005F2DEB">
        <w:rPr>
          <w:noProof/>
          <w:lang w:eastAsia="de-DE"/>
        </w:rPr>
        <w:drawing>
          <wp:anchor distT="0" distB="0" distL="114300" distR="114300" simplePos="0" relativeHeight="251659264" behindDoc="1" locked="0" layoutInCell="1" allowOverlap="1" wp14:anchorId="06F803DF" wp14:editId="73B93C61">
            <wp:simplePos x="0" y="0"/>
            <wp:positionH relativeFrom="column">
              <wp:posOffset>4025900</wp:posOffset>
            </wp:positionH>
            <wp:positionV relativeFrom="paragraph">
              <wp:posOffset>-457200</wp:posOffset>
            </wp:positionV>
            <wp:extent cx="1803400" cy="321945"/>
            <wp:effectExtent l="0" t="0" r="0" b="8255"/>
            <wp:wrapNone/>
            <wp:docPr id="1" name="Bild 1" descr="Macintosh HD:Users:ulrike:Desktop:Ausschreibungstexte:Wilkhahn_Logo_grün_coated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lrike:Desktop:Ausschreibungstexte:Wilkhahn_Logo_grün_coated_4c.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321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F89AD7D" w14:textId="77777777" w:rsidR="00766770" w:rsidRPr="00495DCE" w:rsidRDefault="00544C02">
      <w:pPr>
        <w:rPr>
          <w:b/>
        </w:rPr>
      </w:pPr>
      <w:r>
        <w:rPr>
          <w:b/>
          <w:bCs/>
          <w:lang w:val="en-US"/>
        </w:rPr>
        <w:t>Basic requirements:</w:t>
      </w:r>
    </w:p>
    <w:p w14:paraId="6FD1840D" w14:textId="77777777" w:rsidR="006551D0" w:rsidRPr="000B6C6C" w:rsidRDefault="006551D0" w:rsidP="006551D0">
      <w:pPr>
        <w:rPr>
          <w:lang w:val="en-US"/>
        </w:rPr>
      </w:pPr>
      <w:r>
        <w:rPr>
          <w:lang w:val="en-US"/>
        </w:rPr>
        <w:t xml:space="preserve">Standards / quality marks:  DIN EN 1335, GS standard (Tested Safety), ANSI/BIFMA X 5.1, certified by the IGR (Institute for Health and Ergonomics) as an ergonomic product; tested by the AGR (Healthy Back Initiative) and recommended as a dynamic-motion chair. The chair’s motion-stimulating capability, its dimensions, adjustment options and ranges are based on the ergonomic recommendations made in information pamphlet 215-410 (2019) published by DGUV (German Social Accident Insurance). </w:t>
      </w:r>
      <w:proofErr w:type="gramStart"/>
      <w:r>
        <w:rPr>
          <w:lang w:val="en-US"/>
        </w:rPr>
        <w:t>With Blue Angel certification to comply with the public sector’s sustainability criteria.</w:t>
      </w:r>
      <w:proofErr w:type="gramEnd"/>
    </w:p>
    <w:p w14:paraId="53C3D94A" w14:textId="77777777" w:rsidR="00766770" w:rsidRPr="00495DCE" w:rsidRDefault="00495DCE">
      <w:pPr>
        <w:rPr>
          <w:b/>
        </w:rPr>
      </w:pPr>
      <w:r>
        <w:rPr>
          <w:b/>
          <w:bCs/>
          <w:lang w:val="en-US"/>
        </w:rPr>
        <w:t>Function</w:t>
      </w:r>
    </w:p>
    <w:p w14:paraId="1B73BB62" w14:textId="77777777" w:rsidR="00422BB0" w:rsidRPr="000B6C6C" w:rsidRDefault="00495DCE" w:rsidP="00422BB0">
      <w:pPr>
        <w:rPr>
          <w:lang w:val="en-US"/>
        </w:rPr>
      </w:pPr>
      <w:r>
        <w:rPr>
          <w:b/>
          <w:bCs/>
          <w:lang w:val="en-US"/>
        </w:rPr>
        <w:t>Health and ergonomics:</w:t>
      </w:r>
      <w:r>
        <w:rPr>
          <w:lang w:val="en-US"/>
        </w:rPr>
        <w:t xml:space="preserve"> Motion-stimulating, dynamic office chair with twin wheel swivel casters and load-dependent braking compliant with the relevant DIN standard and three-dimensional, synchronous motion of the seat and backrest (to a ratio of between 1:2 and 1:3), in which the seat and backrest are synchronously linked in all directions moved to enable users to make rotating movements as desired and maintain their bodies’ center of gravity.  To minimize time the taken to make adjustments, the chair comes with automatic configuration of the counter pressure to suit the weight of the users and the force they need to exert in order to move the chair, which depends on the length of their arms and legs for instance (optional precision adjustment). Designed for users weighing 45 – 140 kg. Designed with console-type armrests to enable users to change posture or sit on the chairs sideways temporarily. </w:t>
      </w:r>
      <w:proofErr w:type="gramStart"/>
      <w:r>
        <w:rPr>
          <w:lang w:val="en-US"/>
        </w:rPr>
        <w:t>With a sprung seat (with at least 10 mm suspension travel).</w:t>
      </w:r>
      <w:proofErr w:type="gramEnd"/>
    </w:p>
    <w:p w14:paraId="41E86DBA" w14:textId="77777777" w:rsidR="006551D0" w:rsidRPr="000B6C6C" w:rsidRDefault="00422BB0">
      <w:pPr>
        <w:rPr>
          <w:lang w:val="en-US"/>
        </w:rPr>
      </w:pPr>
      <w:r>
        <w:rPr>
          <w:b/>
          <w:bCs/>
          <w:lang w:val="en-US"/>
        </w:rPr>
        <w:t>Range of motion:</w:t>
      </w:r>
      <w:r>
        <w:rPr>
          <w:lang w:val="en-US"/>
        </w:rPr>
        <w:t xml:space="preserve"> The chair can only be locked in the stipulated 0 position so that users can’t be prevented from changing posture as they wish. The maximum backward tilt in the seat is between 8° and 12° and in the backrest between 20° and 26° with a maximum sideways tilt of up to 12°. Forward tilt capability of up to 5° can be activated with constant contact to the back guaranteed if required. </w:t>
      </w:r>
    </w:p>
    <w:p w14:paraId="0CC64B38" w14:textId="77777777" w:rsidR="00317598" w:rsidRPr="000B6C6C" w:rsidRDefault="00317598">
      <w:pPr>
        <w:rPr>
          <w:lang w:val="en-US"/>
        </w:rPr>
      </w:pPr>
      <w:r>
        <w:rPr>
          <w:b/>
          <w:bCs/>
          <w:lang w:val="en-US"/>
        </w:rPr>
        <w:t>Adjustment options and ranges:</w:t>
      </w:r>
      <w:r>
        <w:rPr>
          <w:lang w:val="en-US"/>
        </w:rPr>
        <w:t xml:space="preserve"> Seating height 40 </w:t>
      </w:r>
      <w:r w:rsidR="002766EE">
        <w:rPr>
          <w:lang w:val="en-US"/>
        </w:rPr>
        <w:t>–</w:t>
      </w:r>
      <w:r>
        <w:rPr>
          <w:lang w:val="en-US"/>
        </w:rPr>
        <w:t xml:space="preserve"> 52 cm (under DIN-compliant load). Seat width at least 50 cm, the seat depth (contact surface) can be adjusted from between 39 cm to 45 cm.  The lumbar support height is adjustable in eight lockable positions from 17 cm to 23 cm above the surface of the seat.  The armrest pad height can be adjusted in ten lockable positions ranging from 20 cm to 30 cm above the surface of the seat. Armrest pads’ minimum width 9 cm, minimum length 20 cm and the useable depth can be adjusted from 20 cm to 25 cm (at lumbar support height). The armrest pads can be pushed to the sides in increments to achieve a variable clear width of between 46 cm and 51 cm. The armrest/armrest pad can be swiveled horizontally inward and outward to up to 25° in increments.</w:t>
      </w:r>
    </w:p>
    <w:p w14:paraId="2E40643C" w14:textId="77777777" w:rsidR="00917293" w:rsidRPr="000B6C6C" w:rsidRDefault="00917293">
      <w:pPr>
        <w:rPr>
          <w:lang w:val="en-US"/>
        </w:rPr>
      </w:pPr>
      <w:r>
        <w:rPr>
          <w:b/>
          <w:bCs/>
          <w:lang w:val="en-US"/>
        </w:rPr>
        <w:t xml:space="preserve">Usability: </w:t>
      </w:r>
      <w:r>
        <w:rPr>
          <w:lang w:val="en-US"/>
        </w:rPr>
        <w:t xml:space="preserve">All adjustment options can be applied while users are sitting down. The buttons or levers used to change the seating height, seat depth and apply locking functions are conveniently placed underneath the seat and clearly marked to show what their purpose is.  </w:t>
      </w:r>
    </w:p>
    <w:p w14:paraId="775210CF" w14:textId="77777777" w:rsidR="00917293" w:rsidRPr="000B6C6C" w:rsidRDefault="00495DCE">
      <w:pPr>
        <w:rPr>
          <w:b/>
          <w:lang w:val="en-US"/>
        </w:rPr>
      </w:pPr>
      <w:r>
        <w:rPr>
          <w:b/>
          <w:bCs/>
          <w:lang w:val="en-US"/>
        </w:rPr>
        <w:t xml:space="preserve">Models: </w:t>
      </w:r>
      <w:r>
        <w:rPr>
          <w:lang w:val="en-US"/>
        </w:rPr>
        <w:t xml:space="preserve">Three backrest heights (60 cm, 70 cm and 80 cm above the seat) with an adjustable </w:t>
      </w:r>
      <w:proofErr w:type="spellStart"/>
      <w:r>
        <w:rPr>
          <w:lang w:val="en-US"/>
        </w:rPr>
        <w:t>neckrest</w:t>
      </w:r>
      <w:proofErr w:type="spellEnd"/>
      <w:r>
        <w:rPr>
          <w:lang w:val="en-US"/>
        </w:rPr>
        <w:t xml:space="preserve"> (sizes each +/- 3 cm) and optionally a mesh-covered backrest frame height within the same frame structure are required in order to meet all requirements and applications with just one single office chair range. In addition to the models for standard sedentary workspaces, in order to encourage particularly tall users (&lt;191 cm) to embrace sit-to-stand options at height-adjustable tables, models </w:t>
      </w:r>
      <w:r>
        <w:rPr>
          <w:lang w:val="en-US"/>
        </w:rPr>
        <w:lastRenderedPageBreak/>
        <w:t xml:space="preserve">with elevated sitting positions and precision-adjustable ranges of 42 cm to at least 58 cm and counter stool models for receptions and high table heights with a precision adjustable range of 65 cm up to at least 75 cm are also available in the range quoted. </w:t>
      </w:r>
    </w:p>
    <w:p w14:paraId="225BCC30" w14:textId="77777777" w:rsidR="007F1272" w:rsidRPr="000B6C6C" w:rsidRDefault="006C5887">
      <w:pPr>
        <w:rPr>
          <w:lang w:val="en-US"/>
        </w:rPr>
      </w:pPr>
      <w:r>
        <w:rPr>
          <w:b/>
          <w:bCs/>
          <w:lang w:val="en-US"/>
        </w:rPr>
        <w:t xml:space="preserve">Base frame, frame and shell color: </w:t>
      </w:r>
      <w:r>
        <w:rPr>
          <w:lang w:val="en-US"/>
        </w:rPr>
        <w:t>The base frame, seat and backrest and swivel casters (for hard and soft floorings) are available in through-dyed white versions and the star base is coated white.</w:t>
      </w:r>
    </w:p>
    <w:p w14:paraId="36B511FF" w14:textId="77777777" w:rsidR="00E754D1" w:rsidRDefault="006C5887">
      <w:pPr>
        <w:rPr>
          <w:lang w:val="en-US"/>
        </w:rPr>
      </w:pPr>
      <w:r>
        <w:rPr>
          <w:b/>
          <w:bCs/>
          <w:lang w:val="en-US"/>
        </w:rPr>
        <w:t xml:space="preserve">Materials: </w:t>
      </w:r>
      <w:r>
        <w:rPr>
          <w:lang w:val="en-US"/>
        </w:rPr>
        <w:t xml:space="preserve">The rear of the backrest is also optionally covered with fabric or leather, the alternative mesh backrest comes in several colors. The ergonomically designed seat and backrest cushioning are at least 5 cm thick at the height of the user’s lower hip bone (ischium) are non-bonded, breathable and made of CFC-free foam. The upholstery materials, colors and characteristics are custom-configurable. </w:t>
      </w:r>
    </w:p>
    <w:p w14:paraId="47613ABA" w14:textId="77777777" w:rsidR="00A55A7E" w:rsidRDefault="00A55A7E">
      <w:pPr>
        <w:rPr>
          <w:lang w:val="en-US"/>
        </w:rPr>
      </w:pPr>
    </w:p>
    <w:p w14:paraId="3264CDE4" w14:textId="72FC30D5" w:rsidR="00A55A7E" w:rsidRPr="001A3A67" w:rsidRDefault="00A55A7E" w:rsidP="00A55A7E">
      <w:pPr>
        <w:spacing w:after="0" w:line="240" w:lineRule="auto"/>
        <w:rPr>
          <w:rFonts w:ascii="Times" w:eastAsia="Times New Roman" w:hAnsi="Times" w:cs="Times New Roman"/>
          <w:sz w:val="20"/>
          <w:szCs w:val="20"/>
          <w:lang w:val="en-US" w:eastAsia="de-DE"/>
        </w:rPr>
      </w:pPr>
      <w:r w:rsidRPr="001A3A67">
        <w:rPr>
          <w:rFonts w:ascii="Arial" w:eastAsia="Times New Roman" w:hAnsi="Arial" w:cs="Times New Roman"/>
          <w:sz w:val="24"/>
          <w:szCs w:val="24"/>
          <w:lang w:val="en-US" w:eastAsia="de-DE"/>
        </w:rPr>
        <w:t>If you require detailed call-for-tender texts, please fill out the </w:t>
      </w:r>
      <w:hyperlink r:id="rId6" w:history="1">
        <w:r w:rsidRPr="001A3A67">
          <w:rPr>
            <w:rStyle w:val="Hyperlink"/>
            <w:rFonts w:ascii="Helvetica Neue" w:eastAsia="Times New Roman" w:hAnsi="Helvetica Neue" w:cs="Times New Roman"/>
            <w:color w:val="auto"/>
            <w:sz w:val="24"/>
            <w:szCs w:val="24"/>
            <w:lang w:val="en-US" w:eastAsia="de-DE"/>
          </w:rPr>
          <w:t>contact form here</w:t>
        </w:r>
        <w:r w:rsidRPr="001A3A67">
          <w:rPr>
            <w:rStyle w:val="Hyperlink"/>
            <w:rFonts w:ascii="Arial" w:eastAsia="Times New Roman" w:hAnsi="Arial" w:cs="Times New Roman"/>
            <w:color w:val="auto"/>
            <w:sz w:val="24"/>
            <w:szCs w:val="24"/>
            <w:lang w:val="en-US" w:eastAsia="de-DE"/>
          </w:rPr>
          <w:t> </w:t>
        </w:r>
      </w:hyperlink>
      <w:r w:rsidRPr="001A3A67">
        <w:rPr>
          <w:rFonts w:ascii="Arial" w:eastAsia="Times New Roman" w:hAnsi="Arial" w:cs="Times New Roman"/>
          <w:sz w:val="24"/>
          <w:szCs w:val="24"/>
          <w:lang w:val="en-US" w:eastAsia="de-DE"/>
        </w:rPr>
        <w:t>or send an e-mail to </w:t>
      </w:r>
      <w:hyperlink r:id="rId7" w:history="1">
        <w:r w:rsidRPr="001A3A67">
          <w:rPr>
            <w:rFonts w:ascii="Helvetica Neue" w:eastAsia="Times New Roman" w:hAnsi="Helvetica Neue" w:cs="Times New Roman"/>
            <w:sz w:val="24"/>
            <w:szCs w:val="24"/>
            <w:u w:val="single"/>
            <w:lang w:val="en-US" w:eastAsia="de-DE"/>
          </w:rPr>
          <w:t>tenders@wilkhahn.com</w:t>
        </w:r>
      </w:hyperlink>
    </w:p>
    <w:p w14:paraId="5B804531" w14:textId="77777777" w:rsidR="006C5887" w:rsidRPr="000B6C6C" w:rsidRDefault="006C5887">
      <w:pPr>
        <w:rPr>
          <w:lang w:val="en-US"/>
        </w:rPr>
      </w:pPr>
    </w:p>
    <w:p w14:paraId="62EB55AB" w14:textId="77777777" w:rsidR="00766770" w:rsidRPr="000B6C6C" w:rsidRDefault="00766770">
      <w:pPr>
        <w:rPr>
          <w:lang w:val="en-US"/>
        </w:rPr>
      </w:pPr>
    </w:p>
    <w:p w14:paraId="79427E66" w14:textId="77777777" w:rsidR="00472ACA" w:rsidRPr="000B6C6C" w:rsidRDefault="007F1272">
      <w:pPr>
        <w:rPr>
          <w:lang w:val="en-US"/>
        </w:rPr>
      </w:pPr>
      <w:r>
        <w:rPr>
          <w:lang w:val="en-US"/>
        </w:rPr>
        <w:t xml:space="preserve"> </w:t>
      </w:r>
    </w:p>
    <w:sectPr w:rsidR="00472ACA" w:rsidRPr="000B6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CA"/>
    <w:rsid w:val="000B6C6C"/>
    <w:rsid w:val="00106FD9"/>
    <w:rsid w:val="001A3A67"/>
    <w:rsid w:val="00210104"/>
    <w:rsid w:val="00233E53"/>
    <w:rsid w:val="00251291"/>
    <w:rsid w:val="002766EE"/>
    <w:rsid w:val="00317598"/>
    <w:rsid w:val="00331EB8"/>
    <w:rsid w:val="00422BB0"/>
    <w:rsid w:val="00423BE3"/>
    <w:rsid w:val="00472ACA"/>
    <w:rsid w:val="00495DCE"/>
    <w:rsid w:val="005301A2"/>
    <w:rsid w:val="00544C02"/>
    <w:rsid w:val="0058074E"/>
    <w:rsid w:val="005956EC"/>
    <w:rsid w:val="005A1D21"/>
    <w:rsid w:val="005F2DEB"/>
    <w:rsid w:val="006551D0"/>
    <w:rsid w:val="0066061A"/>
    <w:rsid w:val="00674C78"/>
    <w:rsid w:val="006C5887"/>
    <w:rsid w:val="00766770"/>
    <w:rsid w:val="007719F6"/>
    <w:rsid w:val="00786DF0"/>
    <w:rsid w:val="007F1272"/>
    <w:rsid w:val="00824483"/>
    <w:rsid w:val="00917293"/>
    <w:rsid w:val="00940E2F"/>
    <w:rsid w:val="00986E95"/>
    <w:rsid w:val="009A27E0"/>
    <w:rsid w:val="00A355D1"/>
    <w:rsid w:val="00A55A7E"/>
    <w:rsid w:val="00A86E66"/>
    <w:rsid w:val="00BB23BB"/>
    <w:rsid w:val="00BC1361"/>
    <w:rsid w:val="00C1564A"/>
    <w:rsid w:val="00CF473F"/>
    <w:rsid w:val="00D57126"/>
    <w:rsid w:val="00DA5E00"/>
    <w:rsid w:val="00DD5D35"/>
    <w:rsid w:val="00DF616A"/>
    <w:rsid w:val="00E07EE3"/>
    <w:rsid w:val="00E754D1"/>
    <w:rsid w:val="00F671BF"/>
    <w:rsid w:val="00F74A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D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5A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5A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s@wilkhah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wilkhahn.com/en/service/direct-contac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Wilkhahn</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Remmers, Burkhard</dc:creator>
  <cp:lastModifiedBy>Leif Giesenbauer</cp:lastModifiedBy>
  <cp:revision>2</cp:revision>
  <dcterms:created xsi:type="dcterms:W3CDTF">2020-05-05T06:17:00Z</dcterms:created>
  <dcterms:modified xsi:type="dcterms:W3CDTF">2020-05-05T06:17:00Z</dcterms:modified>
</cp:coreProperties>
</file>